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Madeline Yvette Flamer-Turner </w:t>
      </w: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4"/>
      </w:tblGrid>
      <w:tr w:rsidR="00DB411F">
        <w:trPr>
          <w:trHeight w:val="374"/>
        </w:trPr>
        <w:tc>
          <w:tcPr>
            <w:tcW w:w="9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11F" w:rsidRDefault="005F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EDUCATION</w:t>
            </w:r>
          </w:p>
        </w:tc>
      </w:tr>
    </w:tbl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8" w:right="2162" w:hanging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M.Ed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Adult Education, School of Education San Francisco State University 2013 Thesis: Black Teachers Teaching Black Adults Readers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Chair: Dr. Ming-Yeh Lee, Second Reader: Dr. Dorothy Tsuruta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B.A.: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 Francisco State University, 2002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27" w:lineRule="auto"/>
        <w:ind w:left="118" w:right="177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Majors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English, with an emphasis in Creative Writing, Department of English Africana Studies, Department of Africana Studies,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emphasis in Humanities </w:t>
      </w: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27" w:lineRule="auto"/>
        <w:ind w:left="118" w:right="1771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4"/>
      </w:tblGrid>
      <w:tr w:rsidR="00DB411F">
        <w:trPr>
          <w:trHeight w:val="374"/>
        </w:trPr>
        <w:tc>
          <w:tcPr>
            <w:tcW w:w="9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11F" w:rsidRDefault="005F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EMPLOYMENT-SFSU</w:t>
            </w:r>
          </w:p>
        </w:tc>
      </w:tr>
    </w:tbl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7" w:right="367" w:hang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ANALYST SPECIALIST SAN FRANCISCO STATE UNIVERSITY COLLEGE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ETHNIC STUDIES/ DEPARTMENT OF AFRICANA STUDIES 2004- Present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64" w:lineRule="auto"/>
        <w:ind w:left="115" w:right="86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515151"/>
          <w:sz w:val="24"/>
          <w:szCs w:val="24"/>
          <w:highlight w:val="white"/>
        </w:rPr>
        <w:t>Reports to the Department Chair, the Academic Office Coordinator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AAS)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provides  administrative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 to the Department Chair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faculty in interpreting, developing,  impleme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nting, monitoring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evaluating policies and procedures related to the operations and  budgetary needs of the department. The AAS assists the Chair in overall operations,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maintenance 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planning of the department, leads the work direction and supervises the office staff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ensure  the clerical support functionality of the department, and coordinates operations and technical  support for a large, multifaceted department (eight full-time faculty, 16 part-time lecturers, and  graduate assistants). Serves as a liaison betwee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the students and faculty. The AAS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  responsible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coordinating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project and events for the department (graduation  recognition ceremonies, alumni day, etc...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5" w:line="240" w:lineRule="auto"/>
        <w:ind w:left="1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TEACHING EXPERIENCE/ADJUNCT PROFESSOR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“Graduation Writing Assessment Requirement” College of Ethnic Studies (Fall 2014)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31" w:lineRule="auto"/>
        <w:ind w:left="126" w:right="847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“Second-Year Written Composition” AFRS 214 (Fall 2019) (Spring 2018)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/Fall 2017)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/Fall 2016) (SPR 2014) (Fall 2013) (SPR 2009) (Fall 2008)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“Black Woman: A Cultural 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lysis” (Fall 2007)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“Introduction to Black Literature AFRS 210 (Spring 2016) (Spring 2017) (Fall 2017) I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30" w:lineRule="auto"/>
        <w:ind w:left="121" w:right="7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“African American Gospel Workshop AFRS 230 (Spring 2018) (Fall 2018) (Spring 2019)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  2019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Each semester, in addition to teaching history and theory of gospel music,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culminating  experience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be a gospel concert on campus with my students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student organization  Gospel Gators inviting the campus community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neighboring communities.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8" w:line="240" w:lineRule="auto"/>
        <w:ind w:left="1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TEACHING ASSISTANTSHIPS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“Introduction to African and African American Literature” (2002-2005)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“The African American and Western Racism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(2006)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4" w:line="240" w:lineRule="auto"/>
        <w:ind w:left="12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OTHER RELATED EMPLOYMENT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Coordinator Assistant, Mental Health Stipend Project, School of Social Wor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30" w:lineRule="auto"/>
        <w:ind w:left="116" w:right="383" w:firstLine="3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 xml:space="preserve">I worked with the Coordinator to monitor the 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>student's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 xml:space="preserve"> progress in training, attaining jobs </w:t>
      </w:r>
      <w:proofErr w:type="gramStart"/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 xml:space="preserve">in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>approved</w:t>
      </w:r>
      <w:proofErr w:type="gramEnd"/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 xml:space="preserve"> facilities, and payback processes through collection through The California Social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>Work Education Center (</w:t>
      </w:r>
      <w:proofErr w:type="spellStart"/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>CalSWEC</w:t>
      </w:r>
      <w:proofErr w:type="spellEnd"/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 xml:space="preserve">). We granted ten stipends to the School of Social Work </w:t>
      </w:r>
      <w:proofErr w:type="gramStart"/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 xml:space="preserve">to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>support</w:t>
      </w:r>
      <w:proofErr w:type="gramEnd"/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 xml:space="preserve"> second-year graduate students interested in public mental health.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5" w:lineRule="auto"/>
        <w:ind w:left="116" w:right="251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Extended Opportunity Programs (EOP), Tutor Summer Bridge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2/19/02-8/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04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students tutoring in ESL, English, Ethnic Studies, Critical Thinking, and Africana  Studies.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2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 Assistant Gerontology Program 6/00-6/05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63" w:lineRule="auto"/>
        <w:ind w:left="119" w:right="55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Research, data entry, clerical support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fulfilling assigned tasks, filing, phones,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providing  information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referrals for students and potential students.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Student Assistant Gerontology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63" w:lineRule="auto"/>
        <w:ind w:left="119" w:right="55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Style w:val="a1"/>
        <w:tblW w:w="9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4"/>
      </w:tblGrid>
      <w:tr w:rsidR="00DB411F">
        <w:trPr>
          <w:trHeight w:val="375"/>
        </w:trPr>
        <w:tc>
          <w:tcPr>
            <w:tcW w:w="9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11F" w:rsidRDefault="005F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ADVISING TO STUDENT ORGANIZATIONS</w:t>
            </w:r>
          </w:p>
        </w:tc>
      </w:tr>
    </w:tbl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Advisor, Jabulani Black African Legacy Rite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Advisor, SFSU Gospel Gators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Advisor, Zeta Phi Beta Sorority, Inc. Nu Mu Chapter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Advisor, Alpha Kappa Alpha Sorority  </w:t>
      </w: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4"/>
      </w:tblGrid>
      <w:tr w:rsidR="00DB411F">
        <w:trPr>
          <w:trHeight w:val="326"/>
        </w:trPr>
        <w:tc>
          <w:tcPr>
            <w:tcW w:w="9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11F" w:rsidRDefault="005F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LEADERSHIP EXPERIENCE</w:t>
            </w:r>
          </w:p>
        </w:tc>
      </w:tr>
    </w:tbl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Black Faculty and Staff Association, Executive Committee Member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Jabulani Advisory Board Member</w:t>
      </w: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1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4"/>
      </w:tblGrid>
      <w:tr w:rsidR="00DB411F">
        <w:trPr>
          <w:trHeight w:val="422"/>
        </w:trPr>
        <w:tc>
          <w:tcPr>
            <w:tcW w:w="9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11F" w:rsidRDefault="005F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OTHER EDUCATIONAL EXPERIENCE</w:t>
            </w:r>
          </w:p>
        </w:tc>
      </w:tr>
    </w:tbl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Certificate, Academic Technology Summer Institute, </w:t>
      </w:r>
      <w:r>
        <w:rPr>
          <w:rFonts w:ascii="Times New Roman" w:eastAsia="Times New Roman" w:hAnsi="Times New Roman" w:cs="Times New Roman"/>
          <w:sz w:val="24"/>
          <w:szCs w:val="24"/>
        </w:rPr>
        <w:t>Summer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Campus Solutions Workshops and Training,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Incorporating Google Docs into the Classroom,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Instructional Technologies for Africana Studies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Awarded, Educator of the Year, 2019 National Council of Black Women San Francisco Chapter </w:t>
      </w: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4"/>
      </w:tblGrid>
      <w:tr w:rsidR="00DB411F">
        <w:trPr>
          <w:trHeight w:val="422"/>
        </w:trPr>
        <w:tc>
          <w:tcPr>
            <w:tcW w:w="9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11F" w:rsidRDefault="005F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MUSIC /ART EXPERIENCE</w:t>
            </w:r>
          </w:p>
        </w:tc>
      </w:tr>
    </w:tbl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John Missionary Baptist Church Youth Choir, Lead Vocalist Director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Gospel on Stage San Francisco State University, Singer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25" w:right="516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Rufus Turner &amp; Company, “Your Arms are too short to Box with God Theatrical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Performer,  Singer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Heirs to the Throne (Gospel Ensemble) Lead Vocalist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1" w:right="706" w:hanging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President, Music Department, California State Baptist Young People’s Convention (Served 1988-1989) (Served as Advisor 1989-1990)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Bay Area District Baptist Association, Lead Vocalist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Revelation Ministries Lead Vocalist, Section Leader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John MBC College &amp; Career Ensemble Lead Vocalist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Acts Full Gospel Church Choir Lead Vocalist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 Francisco State University Gospel Choir Soprano Section Leader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Little Flock COGIC Lead Vocalist, Section Leader, Vocal Trainer 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EPA SDA Church Praise Team Vocalist  </w:t>
      </w: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1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4"/>
      </w:tblGrid>
      <w:tr w:rsidR="00DB411F">
        <w:trPr>
          <w:trHeight w:val="422"/>
        </w:trPr>
        <w:tc>
          <w:tcPr>
            <w:tcW w:w="9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11F" w:rsidRDefault="005F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REFERENCES:</w:t>
            </w:r>
          </w:p>
        </w:tc>
      </w:tr>
    </w:tbl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DB4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18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Dorothy Tsuruta, Former Chair and Professor; Africana Studies, San Francisco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 University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1600 Holloway Ave. E/P 103; San Francisco, CA; 94132; dtsuruta@sfsu.edu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63" w:lineRule="auto"/>
        <w:ind w:left="119" w:right="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 Abul Pitre, Chair and Professor; Africana Studies, San Francisco State Universi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1600  Holloway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Ave. E/P 103; San Francisco, CA; 94132; apitre@sfsu.edu </w:t>
      </w:r>
    </w:p>
    <w:p w:rsidR="00DB411F" w:rsidRDefault="005F1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119"/>
        <w:rPr>
          <w:rFonts w:ascii="Calibri" w:eastAsia="Calibri" w:hAnsi="Calibri" w:cs="Calibri"/>
          <w:color w:val="0563C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Bio: Madeline Flamer </w:t>
      </w:r>
      <w:r>
        <w:rPr>
          <w:rFonts w:ascii="Calibri" w:eastAsia="Calibri" w:hAnsi="Calibri" w:cs="Calibri"/>
          <w:color w:val="0563C1"/>
          <w:u w:val="single"/>
        </w:rPr>
        <w:t>Madeline Flamer | Africana Studies (sfsu.edu)</w:t>
      </w:r>
    </w:p>
    <w:sectPr w:rsidR="00DB411F">
      <w:pgSz w:w="12240" w:h="15840"/>
      <w:pgMar w:top="1421" w:right="1330" w:bottom="1796" w:left="132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1F"/>
    <w:rsid w:val="005F18C7"/>
    <w:rsid w:val="00D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B8627-3463-45B6-A5A4-455E7EDD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State University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Y Flamer</dc:creator>
  <cp:lastModifiedBy>Madeline Y Flamer</cp:lastModifiedBy>
  <cp:revision>2</cp:revision>
  <dcterms:created xsi:type="dcterms:W3CDTF">2023-04-06T22:20:00Z</dcterms:created>
  <dcterms:modified xsi:type="dcterms:W3CDTF">2023-04-06T22:20:00Z</dcterms:modified>
</cp:coreProperties>
</file>